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5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1307"/>
        <w:gridCol w:w="2193"/>
        <w:gridCol w:w="2163"/>
        <w:gridCol w:w="15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ascii="瀹嬩綋" w:hAnsi="瀹嬩綋" w:eastAsia="瀹嬩綋" w:cs="瀹嬩綋"/>
                <w:i w:val="0"/>
                <w:caps w:val="0"/>
                <w:color w:val="494949"/>
                <w:spacing w:val="0"/>
                <w:sz w:val="18"/>
                <w:szCs w:val="18"/>
              </w:rPr>
              <w:t>单位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caps w:val="0"/>
                <w:color w:val="494949"/>
                <w:spacing w:val="0"/>
                <w:sz w:val="18"/>
                <w:szCs w:val="18"/>
              </w:rPr>
              <w:t>电话</w:t>
            </w:r>
          </w:p>
        </w:tc>
        <w:tc>
          <w:tcPr>
            <w:tcW w:w="21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caps w:val="0"/>
                <w:color w:val="494949"/>
                <w:spacing w:val="0"/>
                <w:sz w:val="18"/>
                <w:szCs w:val="18"/>
              </w:rPr>
              <w:t>认定权限</w:t>
            </w:r>
          </w:p>
        </w:tc>
        <w:tc>
          <w:tcPr>
            <w:tcW w:w="2163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caps w:val="0"/>
                <w:color w:val="494949"/>
                <w:spacing w:val="0"/>
                <w:sz w:val="18"/>
                <w:szCs w:val="18"/>
              </w:rPr>
              <w:t>现场确认注意事项</w:t>
            </w:r>
          </w:p>
        </w:tc>
        <w:tc>
          <w:tcPr>
            <w:tcW w:w="1532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caps w:val="0"/>
                <w:color w:val="494949"/>
                <w:spacing w:val="0"/>
                <w:sz w:val="18"/>
                <w:szCs w:val="18"/>
              </w:rPr>
              <w:t>网络查询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市教育体育局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8222194</w:t>
            </w:r>
          </w:p>
        </w:tc>
        <w:tc>
          <w:tcPr>
            <w:tcW w:w="21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高中阶段教师资格：高级中学教师资格、中等职业学校教师资格和中等职业学校实习指导教师资格。</w:t>
            </w:r>
          </w:p>
        </w:tc>
        <w:tc>
          <w:tcPr>
            <w:tcW w:w="2163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caps w:val="0"/>
                <w:color w:val="494949"/>
                <w:spacing w:val="0"/>
                <w:sz w:val="18"/>
                <w:szCs w:val="18"/>
              </w:rPr>
              <w:t>时间地点：</w:t>
            </w: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各县（区）申请人的各级各类教师资格认定的现场确认，均在申请人户籍或工作单位所在地县（区）教育部门指定的时间和地点进行。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caps w:val="0"/>
                <w:color w:val="494949"/>
                <w:spacing w:val="0"/>
                <w:sz w:val="18"/>
                <w:szCs w:val="18"/>
              </w:rPr>
              <w:t>特别提示：</w:t>
            </w: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高中阶段的教师资格认定的现场确认地点不在市教育体育局。高中阶段教师资格申请认定材料，由各县（区）教育部门现场确认后，统一交市教育体育局认定。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“宜宾教育体育网”首页“公告公示栏”。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翠屏区教育局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8205965</w:t>
            </w:r>
          </w:p>
        </w:tc>
        <w:tc>
          <w:tcPr>
            <w:tcW w:w="2193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初级中学教师资格、小学教师资格、幼儿园教师资格。</w:t>
            </w: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“宜宾教育体育网”首页正下方 “县（区）教育局网站”连接，点击进入户籍或工作单位所在的县（区）教育部门网站，再进入公示栏。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南溪区教育和体育局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3329815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宜宾县教育和体育局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6613052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江安县教育局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2631005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长宁县教育体育和文化广电局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7870050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高县教育和体育局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5416615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筠连县教育和文化广电局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7720787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珙县教育和文化广电局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4039865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兴文县教育体育和文化广电局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8835037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屏山县教育体育和文化广电局</w:t>
            </w:r>
          </w:p>
        </w:tc>
        <w:tc>
          <w:tcPr>
            <w:tcW w:w="1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  <w:t>5722272</w:t>
            </w:r>
          </w:p>
        </w:tc>
        <w:tc>
          <w:tcPr>
            <w:tcW w:w="219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/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shd w:val="clear"/>
            <w:vAlign w:val="top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494949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942FDA"/>
    <w:rsid w:val="5EB07B24"/>
    <w:rsid w:val="5F3B0601"/>
    <w:rsid w:val="60D259AB"/>
    <w:rsid w:val="629E0119"/>
    <w:rsid w:val="64045FDB"/>
    <w:rsid w:val="680D7CF4"/>
    <w:rsid w:val="68D02EC8"/>
    <w:rsid w:val="6A9358A0"/>
    <w:rsid w:val="6B315B2A"/>
    <w:rsid w:val="6C60220D"/>
    <w:rsid w:val="6CB23E28"/>
    <w:rsid w:val="6D041E21"/>
    <w:rsid w:val="6D955E8D"/>
    <w:rsid w:val="730E4197"/>
    <w:rsid w:val="7366571F"/>
    <w:rsid w:val="74C115DF"/>
    <w:rsid w:val="765B1380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  <w:style w:type="character" w:customStyle="1" w:styleId="40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2016-10-08T01:48:56Z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